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42" w:type="dxa"/>
        <w:tblCellMar>
          <w:left w:w="0" w:type="dxa"/>
          <w:right w:w="0" w:type="dxa"/>
        </w:tblCellMar>
        <w:tblLook w:val="01E0"/>
      </w:tblPr>
      <w:tblGrid>
        <w:gridCol w:w="4395"/>
        <w:gridCol w:w="5103"/>
      </w:tblGrid>
      <w:tr w:rsidR="005B25FB" w:rsidRPr="004C6F2C" w:rsidTr="00646DC0">
        <w:tc>
          <w:tcPr>
            <w:tcW w:w="4395" w:type="dxa"/>
          </w:tcPr>
          <w:p w:rsidR="005B25FB" w:rsidRPr="00A9399B" w:rsidRDefault="005B25FB" w:rsidP="00646DC0">
            <w:pPr>
              <w:widowControl w:val="0"/>
              <w:spacing w:before="0" w:line="240" w:lineRule="auto"/>
              <w:jc w:val="center"/>
              <w:rPr>
                <w:sz w:val="26"/>
              </w:rPr>
            </w:pPr>
            <w:r w:rsidRPr="00A9399B">
              <w:rPr>
                <w:sz w:val="26"/>
              </w:rPr>
              <w:t>BỘ TƯ PHÁP</w:t>
            </w:r>
          </w:p>
          <w:p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rsidR="005B25FB" w:rsidRDefault="005B25FB" w:rsidP="005B25FB">
      <w:pPr>
        <w:jc w:val="center"/>
        <w:rPr>
          <w:b/>
          <w:lang w:val="vi-VN"/>
        </w:rPr>
      </w:pPr>
    </w:p>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rsidR="005B25FB" w:rsidRPr="00283D48" w:rsidRDefault="005B25FB" w:rsidP="005B25FB">
      <w:pPr>
        <w:spacing w:line="288" w:lineRule="auto"/>
        <w:ind w:firstLine="720"/>
        <w:jc w:val="both"/>
        <w:rPr>
          <w:sz w:val="18"/>
          <w:szCs w:val="15"/>
          <w:lang w:val="vi-VN"/>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2016;Luật số 35/2018/QH14 ngày 20 tháng 11 năm 2018 của Quốc hội sửa đổi, bổ sung một số điều của 37 luật có liên quan đến quy hoạch, có hiệu lực kể từ ngày 01 tháng 01 năm 2019;Bộ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2"/>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4"/>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5"/>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6"/>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7"/>
      </w:r>
      <w:r w:rsidRPr="00F350CC">
        <w:rPr>
          <w:rFonts w:eastAsia="Calibri" w:cs="Times New Roman"/>
          <w:color w:val="000000"/>
          <w:szCs w:val="28"/>
          <w:lang w:val="af-ZA"/>
        </w:rPr>
        <w:t xml:space="preserve">; </w:t>
      </w:r>
      <w:r w:rsidRPr="00F350CC">
        <w:rPr>
          <w:rFonts w:eastAsia="Calibri" w:cs="Times New Roman"/>
          <w:color w:val="000000"/>
          <w:szCs w:val="28"/>
          <w:lang w:val="af-ZA"/>
        </w:rPr>
        <w:lastRenderedPageBreak/>
        <w:t xml:space="preserve">(iii) chính sách BHXH tự nguyện chưa thật sự hấp dẫn người dân tham gia; (iv) một số quy định không còn phù hợp với bối cảnh, điều kiện thực tiễn hiện nay...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8"/>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lastRenderedPageBreak/>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9"/>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sidRPr="002C5599">
        <w:rPr>
          <w:b/>
        </w:rPr>
        <w:t>đa tầng</w:t>
      </w:r>
      <w:r>
        <w:rPr>
          <w:rStyle w:val="FootnoteReference"/>
          <w:b/>
        </w:rPr>
        <w:footnoteReference w:id="10"/>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1"/>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thai sản vào chính sách BHXH tự nguyện </w:t>
      </w:r>
    </w:p>
    <w:p w:rsidR="005B25FB" w:rsidRDefault="005B25FB" w:rsidP="005B25FB">
      <w:pPr>
        <w:spacing w:line="288" w:lineRule="auto"/>
        <w:ind w:firstLine="720"/>
        <w:jc w:val="both"/>
      </w:pPr>
      <w:r w:rsidRPr="002C5599">
        <w:lastRenderedPageBreak/>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lastRenderedPageBreak/>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lastRenderedPageBreak/>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lastRenderedPageBreak/>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 xml:space="preserve">thân nhân của người lao động, không phân biệt trường hợp nào; khi các thân nhân đủ điều kiện hưởng trợ </w:t>
      </w:r>
      <w:r w:rsidRPr="007C234F">
        <w:rPr>
          <w:szCs w:val="28"/>
        </w:rPr>
        <w:lastRenderedPageBreak/>
        <w:t>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sidRPr="004A606B">
        <w:rPr>
          <w:szCs w:val="28"/>
          <w:lang w:val="es-ES"/>
        </w:rPr>
        <w:t xml:space="preserve">cho người tham gia </w:t>
      </w:r>
      <w:r>
        <w:rPr>
          <w:szCs w:val="28"/>
          <w:lang w:val="es-ES"/>
        </w:rPr>
        <w:t>BHXH</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w:t>
      </w:r>
      <w:r w:rsidRPr="00496177">
        <w:rPr>
          <w:rFonts w:cs="Times New Roman"/>
          <w:spacing w:val="-2"/>
          <w:szCs w:val="28"/>
          <w:lang w:val="vi-VN"/>
        </w:rPr>
        <w:lastRenderedPageBreak/>
        <w:t xml:space="preserve">quản lý nhà nước và phát triển hệ thống thực hiện chính sách </w:t>
      </w:r>
      <w:r>
        <w:rPr>
          <w:szCs w:val="28"/>
          <w:lang w:val="es-ES"/>
        </w:rPr>
        <w:t>BHXH</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sidRPr="004A606B">
        <w:rPr>
          <w:rFonts w:eastAsia="Times New Roman" w:cs="Times New Roman"/>
          <w:color w:val="000000"/>
          <w:szCs w:val="28"/>
        </w:rPr>
        <w:t>an sinh xã hội.</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(2) Nghị định quy định chi tiết và hướng dẫn thi hành một số điều của Luật Bảo hiểm xã hội về </w:t>
      </w:r>
      <w:r>
        <w:rPr>
          <w:szCs w:val="28"/>
          <w:lang w:val="es-ES"/>
        </w:rPr>
        <w:t>BHXH</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Pr>
          <w:color w:val="000000"/>
        </w:rPr>
        <w:t xml:space="preserve">bắt buộc, bảo hiểm thất nghiệp; khiếu nại, tố cáo về </w:t>
      </w:r>
      <w:r>
        <w:rPr>
          <w:szCs w:val="28"/>
          <w:lang w:val="es-ES"/>
        </w:rPr>
        <w:t>BHXH</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 xml:space="preserve">để ban hành theo thẩm quyền hoặc kiến nghị cấp có thẩm quyền kịp thời sửa đổi, bổ sung, thay thế, bãi bỏ </w:t>
      </w:r>
      <w:r>
        <w:rPr>
          <w:spacing w:val="2"/>
          <w:szCs w:val="28"/>
        </w:rPr>
        <w:lastRenderedPageBreak/>
        <w:t>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CF1" w:rsidRDefault="00193CF1" w:rsidP="005B25FB">
      <w:pPr>
        <w:spacing w:before="0" w:line="240" w:lineRule="auto"/>
      </w:pPr>
      <w:r>
        <w:separator/>
      </w:r>
    </w:p>
  </w:endnote>
  <w:endnote w:type="continuationSeparator" w:id="1">
    <w:p w:rsidR="00193CF1" w:rsidRDefault="00193CF1" w:rsidP="005B25F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CF1" w:rsidRDefault="00193CF1" w:rsidP="005B25FB">
      <w:pPr>
        <w:spacing w:before="0" w:line="240" w:lineRule="auto"/>
      </w:pPr>
      <w:r>
        <w:separator/>
      </w:r>
    </w:p>
  </w:footnote>
  <w:footnote w:type="continuationSeparator" w:id="1">
    <w:p w:rsidR="00193CF1" w:rsidRDefault="00193CF1" w:rsidP="005B25FB">
      <w:pPr>
        <w:spacing w:before="0" w:line="240" w:lineRule="auto"/>
      </w:pPr>
      <w:r>
        <w:continuationSeparator/>
      </w:r>
    </w:p>
  </w:footnote>
  <w:footnote w:id="2">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p>
  </w:footnote>
  <w:footnote w:id="4">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p>
  </w:footnote>
  <w:footnote w:id="5">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7">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8">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9">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10">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1">
    <w:p w:rsidR="005B25FB" w:rsidRDefault="005B25FB" w:rsidP="005B25FB">
      <w:pPr>
        <w:pStyle w:val="FootnoteText"/>
        <w:spacing w:before="60"/>
        <w:ind w:firstLine="284"/>
      </w:pPr>
      <w:r>
        <w:rPr>
          <w:rStyle w:val="FootnoteReference"/>
        </w:rPr>
        <w:footnoteRef/>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326545"/>
      <w:docPartObj>
        <w:docPartGallery w:val="Page Numbers (Top of Page)"/>
        <w:docPartUnique/>
      </w:docPartObj>
    </w:sdtPr>
    <w:sdtEndPr>
      <w:rPr>
        <w:noProof/>
      </w:rPr>
    </w:sdtEndPr>
    <w:sdtContent>
      <w:p w:rsidR="00160468" w:rsidRDefault="00160468">
        <w:pPr>
          <w:pStyle w:val="Header"/>
          <w:jc w:val="center"/>
        </w:pPr>
        <w:r>
          <w:fldChar w:fldCharType="begin"/>
        </w:r>
        <w:r w:rsidR="00755374">
          <w:instrText xml:space="preserve"> PAGE   \* MERGEFORMAT </w:instrText>
        </w:r>
        <w:r>
          <w:fldChar w:fldCharType="separate"/>
        </w:r>
        <w:r w:rsidR="002859E3">
          <w:rPr>
            <w:noProof/>
          </w:rPr>
          <w:t>15</w:t>
        </w:r>
        <w:r>
          <w:rPr>
            <w:noProof/>
          </w:rPr>
          <w:fldChar w:fldCharType="end"/>
        </w:r>
      </w:p>
    </w:sdtContent>
  </w:sdt>
  <w:p w:rsidR="00160468" w:rsidRDefault="00160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812872"/>
      <w:docPartObj>
        <w:docPartGallery w:val="Page Numbers (Top of Page)"/>
        <w:docPartUnique/>
      </w:docPartObj>
    </w:sdtPr>
    <w:sdtEndPr>
      <w:rPr>
        <w:noProof/>
      </w:rPr>
    </w:sdtEndPr>
    <w:sdtContent>
      <w:p w:rsidR="00160468" w:rsidRDefault="00160468">
        <w:pPr>
          <w:pStyle w:val="Header"/>
          <w:jc w:val="center"/>
        </w:pPr>
        <w:r>
          <w:fldChar w:fldCharType="begin"/>
        </w:r>
        <w:r w:rsidR="00755374">
          <w:instrText xml:space="preserve"> PAGE   \* MERGEFORMAT </w:instrText>
        </w:r>
        <w:r>
          <w:fldChar w:fldCharType="separate"/>
        </w:r>
        <w:r w:rsidR="002859E3">
          <w:rPr>
            <w:noProof/>
          </w:rPr>
          <w:t>1</w:t>
        </w:r>
        <w:r>
          <w:rPr>
            <w:noProof/>
          </w:rPr>
          <w:fldChar w:fldCharType="end"/>
        </w:r>
      </w:p>
    </w:sdtContent>
  </w:sdt>
  <w:p w:rsidR="00160468" w:rsidRDefault="001604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25FB"/>
    <w:rsid w:val="00160468"/>
    <w:rsid w:val="00193CF1"/>
    <w:rsid w:val="002859E3"/>
    <w:rsid w:val="00556CCD"/>
    <w:rsid w:val="005B25FB"/>
    <w:rsid w:val="00755374"/>
    <w:rsid w:val="00812E24"/>
    <w:rsid w:val="00B027AC"/>
    <w:rsid w:val="00CA1E8C"/>
    <w:rsid w:val="00CF4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135D5-8F2A-424B-9515-5E43D6E61D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61FBD2-F547-4BF3-AE6F-AB0460FB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94E108-6A10-493E-9D80-E66D6E5CB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4448</Words>
  <Characters>25354</Characters>
  <Application>Microsoft Office Word</Application>
  <DocSecurity>0</DocSecurity>
  <Lines>211</Lines>
  <Paragraphs>59</Paragraphs>
  <ScaleCrop>false</ScaleCrop>
  <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2024-08-13T07:03:00Z</dcterms:created>
  <dcterms:modified xsi:type="dcterms:W3CDTF">2024-08-13T07:03:00Z</dcterms:modified>
</cp:coreProperties>
</file>